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FC66" w14:textId="2994B176" w:rsidR="00D04CB8" w:rsidRDefault="00B82475" w:rsidP="00B82475">
      <w:pPr>
        <w:jc w:val="center"/>
        <w:rPr>
          <w:b/>
          <w:bCs/>
          <w:sz w:val="40"/>
          <w:szCs w:val="40"/>
          <w:u w:val="single"/>
        </w:rPr>
      </w:pPr>
      <w:r w:rsidRPr="00B82475">
        <w:rPr>
          <w:b/>
          <w:bCs/>
          <w:sz w:val="40"/>
          <w:szCs w:val="40"/>
          <w:u w:val="single"/>
        </w:rPr>
        <w:t>UK</w:t>
      </w:r>
    </w:p>
    <w:p w14:paraId="2C267CB8" w14:textId="5EB1A286" w:rsidR="00B82475" w:rsidRPr="00D04CB8" w:rsidRDefault="00D04CB8" w:rsidP="00B82475">
      <w:pPr>
        <w:jc w:val="center"/>
        <w:rPr>
          <w:b/>
          <w:bCs/>
          <w:sz w:val="36"/>
          <w:szCs w:val="36"/>
        </w:rPr>
      </w:pPr>
      <w:r w:rsidRPr="00D04CB8">
        <w:rPr>
          <w:b/>
          <w:bCs/>
          <w:sz w:val="36"/>
          <w:szCs w:val="36"/>
        </w:rPr>
        <w:t>LNG liquified natural gas</w:t>
      </w:r>
      <w:r w:rsidR="0041554F">
        <w:rPr>
          <w:b/>
          <w:bCs/>
          <w:sz w:val="36"/>
          <w:szCs w:val="36"/>
        </w:rPr>
        <w:t xml:space="preserve"> imports</w:t>
      </w:r>
    </w:p>
    <w:p w14:paraId="44A1A150" w14:textId="676EF3BF" w:rsidR="00D75583" w:rsidRPr="00D04CB8" w:rsidRDefault="00D04CB8">
      <w:pPr>
        <w:rPr>
          <w:i/>
          <w:iCs/>
        </w:rPr>
      </w:pPr>
      <w:r>
        <w:rPr>
          <w:i/>
          <w:iCs/>
        </w:rPr>
        <w:t xml:space="preserve">A large majority </w:t>
      </w:r>
      <w:r w:rsidR="00420AFA">
        <w:rPr>
          <w:i/>
          <w:iCs/>
        </w:rPr>
        <w:t>enters</w:t>
      </w:r>
      <w:r w:rsidR="00B82475" w:rsidRPr="00D04CB8">
        <w:rPr>
          <w:i/>
          <w:iCs/>
        </w:rPr>
        <w:t xml:space="preserve"> through the port districts of </w:t>
      </w:r>
      <w:hyperlink r:id="rId7" w:history="1">
        <w:r w:rsidR="00BD573D" w:rsidRPr="00FD613A">
          <w:rPr>
            <w:rStyle w:val="Hyperlink"/>
            <w:i/>
            <w:iCs/>
          </w:rPr>
          <w:t>Medway</w:t>
        </w:r>
      </w:hyperlink>
      <w:r w:rsidR="00BD573D" w:rsidRPr="00D04CB8">
        <w:rPr>
          <w:i/>
          <w:iCs/>
        </w:rPr>
        <w:t xml:space="preserve"> and Milford</w:t>
      </w:r>
      <w:r w:rsidR="00FD613A">
        <w:rPr>
          <w:i/>
          <w:iCs/>
        </w:rPr>
        <w:t xml:space="preserve"> [</w:t>
      </w:r>
      <w:hyperlink r:id="rId8" w:history="1">
        <w:r w:rsidR="00FD613A" w:rsidRPr="00FD613A">
          <w:rPr>
            <w:rStyle w:val="Hyperlink"/>
            <w:i/>
            <w:iCs/>
          </w:rPr>
          <w:t>Dragon</w:t>
        </w:r>
      </w:hyperlink>
      <w:r w:rsidR="00FD613A">
        <w:rPr>
          <w:i/>
          <w:iCs/>
        </w:rPr>
        <w:t>]</w:t>
      </w:r>
      <w:r w:rsidR="00C75AF8">
        <w:rPr>
          <w:i/>
          <w:iCs/>
        </w:rPr>
        <w:t xml:space="preserve"> [</w:t>
      </w:r>
      <w:hyperlink r:id="rId9" w:history="1">
        <w:r w:rsidR="00C75AF8" w:rsidRPr="00C75AF8">
          <w:rPr>
            <w:rStyle w:val="Hyperlink"/>
            <w:i/>
            <w:iCs/>
          </w:rPr>
          <w:t>South Hook</w:t>
        </w:r>
      </w:hyperlink>
      <w:r w:rsidR="00C75AF8">
        <w:rPr>
          <w:i/>
          <w:iCs/>
        </w:rPr>
        <w:t>]</w:t>
      </w:r>
      <w:r w:rsidR="00B82475" w:rsidRPr="00D04CB8">
        <w:rPr>
          <w:i/>
          <w:iCs/>
        </w:rPr>
        <w:t>.  Qatar and the USA have accounted for most of those imports.  Imports from Peru became a source of a substantial quantity at the time imports direct from Russia ceased.</w:t>
      </w:r>
      <w:r w:rsidR="00F5187D" w:rsidRPr="00F5187D">
        <w:rPr>
          <w:rStyle w:val="FootnoteReference"/>
          <w:szCs w:val="40"/>
        </w:rPr>
        <w:footnoteReference w:id="1"/>
      </w:r>
    </w:p>
    <w:p w14:paraId="4599A932" w14:textId="734B7B9F" w:rsidR="00256FFC" w:rsidRDefault="00256FFC" w:rsidP="00256FFC">
      <w:r w:rsidRPr="00256FFC">
        <w:rPr>
          <w:b/>
          <w:bCs/>
          <w:u w:val="single"/>
        </w:rPr>
        <w:t>Weight</w:t>
      </w:r>
      <w:r>
        <w:t xml:space="preserve"> – port of entry (by supplying country)</w:t>
      </w:r>
    </w:p>
    <w:p w14:paraId="2119522E" w14:textId="365A041A" w:rsidR="00256FFC" w:rsidRDefault="0078549A">
      <w:r w:rsidRPr="0078549A">
        <w:rPr>
          <w:noProof/>
        </w:rPr>
        <w:drawing>
          <wp:inline distT="0" distB="0" distL="0" distR="0" wp14:anchorId="00C3E77C" wp14:editId="727589AA">
            <wp:extent cx="5731510" cy="3158490"/>
            <wp:effectExtent l="0" t="0" r="2540" b="3810"/>
            <wp:docPr id="18378429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103C3" w14:textId="77777777" w:rsidR="00256FFC" w:rsidRDefault="00256FFC"/>
    <w:p w14:paraId="2A09B842" w14:textId="6A6A1389" w:rsidR="00BD573D" w:rsidRDefault="00256FFC">
      <w:r w:rsidRPr="00256FFC">
        <w:rPr>
          <w:b/>
          <w:bCs/>
          <w:u w:val="single"/>
        </w:rPr>
        <w:t>Weight</w:t>
      </w:r>
      <w:r w:rsidR="00BD573D">
        <w:t xml:space="preserve"> </w:t>
      </w:r>
      <w:r>
        <w:t>– supplying country (</w:t>
      </w:r>
      <w:r w:rsidR="00BD573D">
        <w:t>by port of entry)</w:t>
      </w:r>
    </w:p>
    <w:p w14:paraId="66F663A1" w14:textId="5B6E6F43" w:rsidR="00256FFC" w:rsidRDefault="0078549A">
      <w:r w:rsidRPr="0078549A">
        <w:rPr>
          <w:noProof/>
        </w:rPr>
        <w:drawing>
          <wp:inline distT="0" distB="0" distL="0" distR="0" wp14:anchorId="0E0AE68C" wp14:editId="7643C070">
            <wp:extent cx="5731510" cy="2900680"/>
            <wp:effectExtent l="0" t="0" r="2540" b="0"/>
            <wp:docPr id="7387572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FFC">
        <w:br w:type="page"/>
      </w:r>
    </w:p>
    <w:p w14:paraId="3377C730" w14:textId="0E8084A7" w:rsidR="00EC546B" w:rsidRDefault="00420AFA" w:rsidP="00EC546B">
      <w:r w:rsidRPr="00420AFA">
        <w:rPr>
          <w:b/>
          <w:bCs/>
          <w:u w:val="single"/>
        </w:rPr>
        <w:lastRenderedPageBreak/>
        <w:t>Import value</w:t>
      </w:r>
      <w:r w:rsidR="00EC546B">
        <w:t xml:space="preserve"> – </w:t>
      </w:r>
      <w:r>
        <w:t xml:space="preserve">port of entry (by </w:t>
      </w:r>
      <w:r w:rsidR="00EC546B">
        <w:t>supplying country</w:t>
      </w:r>
      <w:r>
        <w:t>)</w:t>
      </w:r>
    </w:p>
    <w:p w14:paraId="3B6AAE4B" w14:textId="0883639A" w:rsidR="00EC546B" w:rsidRDefault="0078549A" w:rsidP="00EC546B">
      <w:r w:rsidRPr="0078549A">
        <w:rPr>
          <w:noProof/>
        </w:rPr>
        <w:drawing>
          <wp:inline distT="0" distB="0" distL="0" distR="0" wp14:anchorId="674AC80D" wp14:editId="6D487413">
            <wp:extent cx="5731510" cy="3158490"/>
            <wp:effectExtent l="0" t="0" r="2540" b="3810"/>
            <wp:docPr id="18916652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14A6" w14:textId="14034712" w:rsidR="00420AFA" w:rsidRPr="00C0462D" w:rsidRDefault="00C0462D" w:rsidP="00EC546B">
      <w:pPr>
        <w:rPr>
          <w:color w:val="0070C0"/>
          <w:sz w:val="18"/>
          <w:szCs w:val="18"/>
        </w:rPr>
      </w:pPr>
      <w:bookmarkStart w:id="0" w:name="_Hlk185278540"/>
      <w:r w:rsidRPr="00C0462D">
        <w:rPr>
          <w:color w:val="0070C0"/>
          <w:sz w:val="18"/>
          <w:szCs w:val="18"/>
        </w:rPr>
        <w:t xml:space="preserve">Average import value per </w:t>
      </w:r>
      <w:r w:rsidRPr="002D4997">
        <w:rPr>
          <w:b/>
          <w:bCs/>
          <w:i/>
          <w:iCs/>
          <w:color w:val="0070C0"/>
          <w:sz w:val="18"/>
          <w:szCs w:val="18"/>
        </w:rPr>
        <w:t>tonne</w:t>
      </w:r>
      <w:r w:rsidRPr="00C0462D">
        <w:rPr>
          <w:color w:val="0070C0"/>
          <w:sz w:val="18"/>
          <w:szCs w:val="18"/>
        </w:rPr>
        <w:t xml:space="preserve"> – £4</w:t>
      </w:r>
      <w:r w:rsidR="00F5187D">
        <w:rPr>
          <w:color w:val="0070C0"/>
          <w:sz w:val="18"/>
          <w:szCs w:val="18"/>
        </w:rPr>
        <w:t>3</w:t>
      </w:r>
      <w:r w:rsidRPr="00C0462D">
        <w:rPr>
          <w:color w:val="0070C0"/>
          <w:sz w:val="18"/>
          <w:szCs w:val="18"/>
        </w:rPr>
        <w:t>0 (year to end 202409)   £1,200 (peak month, 202212)</w:t>
      </w:r>
    </w:p>
    <w:bookmarkEnd w:id="0"/>
    <w:p w14:paraId="0E2F555A" w14:textId="1FB10F1F" w:rsidR="00420AFA" w:rsidRDefault="00420AFA" w:rsidP="00EC546B"/>
    <w:p w14:paraId="4FEE444C" w14:textId="027C6396" w:rsidR="00256FFC" w:rsidRPr="00D04CB8" w:rsidRDefault="00256FFC" w:rsidP="00256F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“N</w:t>
      </w:r>
      <w:r w:rsidRPr="00D04CB8">
        <w:rPr>
          <w:b/>
          <w:bCs/>
          <w:sz w:val="36"/>
          <w:szCs w:val="36"/>
        </w:rPr>
        <w:t>atural gas</w:t>
      </w:r>
      <w:r>
        <w:rPr>
          <w:b/>
          <w:bCs/>
          <w:sz w:val="36"/>
          <w:szCs w:val="36"/>
        </w:rPr>
        <w:t>” (gaseous) imports</w:t>
      </w:r>
    </w:p>
    <w:p w14:paraId="02BEFD24" w14:textId="4768EEDA" w:rsidR="00256FFC" w:rsidRPr="00D04CB8" w:rsidRDefault="00256FFC" w:rsidP="00256FFC">
      <w:pPr>
        <w:rPr>
          <w:i/>
          <w:iCs/>
        </w:rPr>
      </w:pPr>
      <w:r>
        <w:rPr>
          <w:i/>
          <w:iCs/>
        </w:rPr>
        <w:t>A large majority</w:t>
      </w:r>
      <w:r w:rsidR="00EC546B">
        <w:rPr>
          <w:i/>
          <w:iCs/>
        </w:rPr>
        <w:t xml:space="preserve"> is supplied from Norway, predominantly through Hull and Peterhead</w:t>
      </w:r>
      <w:r w:rsidRPr="00D04CB8">
        <w:rPr>
          <w:i/>
          <w:iCs/>
        </w:rPr>
        <w:t>.</w:t>
      </w:r>
    </w:p>
    <w:p w14:paraId="74020646" w14:textId="7C1A8E16" w:rsidR="00256FFC" w:rsidRDefault="00EC546B" w:rsidP="00256FFC">
      <w:r w:rsidRPr="00EC546B">
        <w:t>By supplying country (subdivided by</w:t>
      </w:r>
      <w:r>
        <w:rPr>
          <w:b/>
          <w:bCs/>
          <w:u w:val="single"/>
        </w:rPr>
        <w:t xml:space="preserve"> </w:t>
      </w:r>
      <w:r w:rsidR="00256FFC">
        <w:t xml:space="preserve">port of entry </w:t>
      </w:r>
      <w:r>
        <w:t>if from Norway)</w:t>
      </w:r>
    </w:p>
    <w:p w14:paraId="3FCC09EA" w14:textId="48EA1657" w:rsidR="00BD573D" w:rsidRDefault="00EC546B">
      <w:r w:rsidRPr="00EC546B">
        <w:rPr>
          <w:noProof/>
        </w:rPr>
        <w:drawing>
          <wp:inline distT="0" distB="0" distL="0" distR="0" wp14:anchorId="144BE8AE" wp14:editId="590CA75A">
            <wp:extent cx="5731510" cy="2900680"/>
            <wp:effectExtent l="0" t="0" r="2540" b="0"/>
            <wp:docPr id="790304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8E8F" w14:textId="3299891E" w:rsidR="00C0462D" w:rsidRPr="00C0462D" w:rsidRDefault="00C0462D">
      <w:pPr>
        <w:rPr>
          <w:color w:val="0070C0"/>
          <w:sz w:val="18"/>
          <w:szCs w:val="18"/>
        </w:rPr>
      </w:pPr>
      <w:r w:rsidRPr="00C0462D">
        <w:rPr>
          <w:color w:val="0070C0"/>
          <w:sz w:val="18"/>
          <w:szCs w:val="18"/>
        </w:rPr>
        <w:t xml:space="preserve">Average import value per </w:t>
      </w:r>
      <w:r w:rsidRPr="002D4997">
        <w:rPr>
          <w:b/>
          <w:bCs/>
          <w:i/>
          <w:iCs/>
          <w:color w:val="0070C0"/>
          <w:sz w:val="18"/>
          <w:szCs w:val="18"/>
        </w:rPr>
        <w:t>tonne</w:t>
      </w:r>
      <w:r w:rsidRPr="00C0462D">
        <w:rPr>
          <w:color w:val="0070C0"/>
          <w:sz w:val="18"/>
          <w:szCs w:val="18"/>
        </w:rPr>
        <w:t xml:space="preserve"> – £400 (year to end 202409)   £1,</w:t>
      </w:r>
      <w:r w:rsidR="00F5187D">
        <w:rPr>
          <w:color w:val="0070C0"/>
          <w:sz w:val="18"/>
          <w:szCs w:val="18"/>
        </w:rPr>
        <w:t>5</w:t>
      </w:r>
      <w:r w:rsidRPr="00C0462D">
        <w:rPr>
          <w:color w:val="0070C0"/>
          <w:sz w:val="18"/>
          <w:szCs w:val="18"/>
        </w:rPr>
        <w:t>00 (peak month, 202212)</w:t>
      </w:r>
    </w:p>
    <w:sectPr w:rsidR="00C0462D" w:rsidRPr="00C0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35C4" w14:textId="77777777" w:rsidR="009F05D5" w:rsidRDefault="009F05D5" w:rsidP="00420AFA">
      <w:pPr>
        <w:spacing w:after="0" w:line="240" w:lineRule="auto"/>
      </w:pPr>
      <w:r>
        <w:separator/>
      </w:r>
    </w:p>
  </w:endnote>
  <w:endnote w:type="continuationSeparator" w:id="0">
    <w:p w14:paraId="2C78E5CB" w14:textId="77777777" w:rsidR="009F05D5" w:rsidRDefault="009F05D5" w:rsidP="0042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9984" w14:textId="77777777" w:rsidR="009F05D5" w:rsidRDefault="009F05D5" w:rsidP="00420AFA">
      <w:pPr>
        <w:spacing w:after="0" w:line="240" w:lineRule="auto"/>
      </w:pPr>
      <w:r>
        <w:separator/>
      </w:r>
    </w:p>
  </w:footnote>
  <w:footnote w:type="continuationSeparator" w:id="0">
    <w:p w14:paraId="206FBB4A" w14:textId="77777777" w:rsidR="009F05D5" w:rsidRDefault="009F05D5" w:rsidP="00420AFA">
      <w:pPr>
        <w:spacing w:after="0" w:line="240" w:lineRule="auto"/>
      </w:pPr>
      <w:r>
        <w:continuationSeparator/>
      </w:r>
    </w:p>
  </w:footnote>
  <w:footnote w:id="1">
    <w:p w14:paraId="73BC8D65" w14:textId="77777777" w:rsidR="00F5187D" w:rsidRDefault="00F5187D" w:rsidP="00F5187D">
      <w:pPr>
        <w:pStyle w:val="FootnoteText"/>
      </w:pPr>
      <w:r>
        <w:rPr>
          <w:rStyle w:val="FootnoteReference"/>
        </w:rPr>
        <w:footnoteRef/>
      </w:r>
      <w:r>
        <w:t xml:space="preserve"> Source of data for all charts: based on </w:t>
      </w:r>
      <w:hyperlink r:id="rId1" w:history="1">
        <w:r>
          <w:rPr>
            <w:rStyle w:val="Hyperlink"/>
          </w:rPr>
          <w:t>UK Trade I</w:t>
        </w:r>
        <w:r w:rsidRPr="00420AFA">
          <w:rPr>
            <w:rStyle w:val="Hyperlink"/>
          </w:rPr>
          <w:t>nfo</w:t>
        </w:r>
      </w:hyperlink>
      <w:r>
        <w:t xml:space="preserve">  200001 to 202409</w:t>
      </w:r>
      <w:proofErr w:type="gramStart"/>
      <w:r>
        <w:t xml:space="preserve">   (</w:t>
      </w:r>
      <w:proofErr w:type="gramEnd"/>
      <w:r>
        <w:t xml:space="preserve">14 December 2024)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D"/>
    <w:rsid w:val="00070834"/>
    <w:rsid w:val="00101A4F"/>
    <w:rsid w:val="00192CDA"/>
    <w:rsid w:val="00193551"/>
    <w:rsid w:val="0023274C"/>
    <w:rsid w:val="00256FFC"/>
    <w:rsid w:val="00295A70"/>
    <w:rsid w:val="002D4997"/>
    <w:rsid w:val="00303CDF"/>
    <w:rsid w:val="0041554F"/>
    <w:rsid w:val="00420AFA"/>
    <w:rsid w:val="006015D1"/>
    <w:rsid w:val="00632234"/>
    <w:rsid w:val="0078549A"/>
    <w:rsid w:val="008E6AAB"/>
    <w:rsid w:val="008F08F9"/>
    <w:rsid w:val="00901573"/>
    <w:rsid w:val="009668E3"/>
    <w:rsid w:val="009F05D5"/>
    <w:rsid w:val="00A00BB9"/>
    <w:rsid w:val="00A0781C"/>
    <w:rsid w:val="00AB1163"/>
    <w:rsid w:val="00B146CF"/>
    <w:rsid w:val="00B67739"/>
    <w:rsid w:val="00B82475"/>
    <w:rsid w:val="00BC04DC"/>
    <w:rsid w:val="00BD573D"/>
    <w:rsid w:val="00C03F37"/>
    <w:rsid w:val="00C0462D"/>
    <w:rsid w:val="00C61A1F"/>
    <w:rsid w:val="00C75AF8"/>
    <w:rsid w:val="00D04CB8"/>
    <w:rsid w:val="00D75583"/>
    <w:rsid w:val="00EB2416"/>
    <w:rsid w:val="00EC546B"/>
    <w:rsid w:val="00F5187D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F714"/>
  <w15:chartTrackingRefBased/>
  <w15:docId w15:val="{90CD5832-D250-4E33-87E5-0494DF4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7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7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7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7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7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7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7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7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7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7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7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7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7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7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7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7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7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1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3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A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A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0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agonlng.co.uk/wp-content/uploads/2024/06/Section-172-statement-2023-accounts.pdf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s://www.nationalgrid.com/national-grid-ventures/grain-lng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www.southhooklng.com/about/our-shareholders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ktradeinfo.com/trade-data/ots-custom-ta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FEF0-6198-4E49-B370-9EBBC3CA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2024-12-16T19:58:00Z</dcterms:created>
  <dcterms:modified xsi:type="dcterms:W3CDTF">2024-12-16T23:01:00Z</dcterms:modified>
</cp:coreProperties>
</file>